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sz w:val="22"/>
          <w:szCs w:val="22"/>
        </w:rPr>
        <w:t>-2003/20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259" w:lineRule="auto"/>
        <w:jc w:val="right"/>
        <w:rPr>
          <w:sz w:val="28"/>
          <w:szCs w:val="28"/>
        </w:rPr>
      </w:pP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 w:line="259" w:lineRule="auto"/>
        <w:jc w:val="center"/>
        <w:rPr>
          <w:sz w:val="26"/>
          <w:szCs w:val="26"/>
        </w:rPr>
      </w:pPr>
    </w:p>
    <w:p>
      <w:pPr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259" w:lineRule="auto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Морошана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Георгиевича, </w:t>
      </w:r>
      <w:r>
        <w:rPr>
          <w:rStyle w:val="cat-ExternalSystemDefinedgrp-5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4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являющегося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 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СНТ «</w:t>
      </w:r>
      <w:r>
        <w:rPr>
          <w:rFonts w:ascii="Times New Roman" w:eastAsia="Times New Roman" w:hAnsi="Times New Roman" w:cs="Times New Roman"/>
          <w:sz w:val="26"/>
          <w:szCs w:val="26"/>
        </w:rPr>
        <w:t>Радамир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проживающего по адресу: </w:t>
      </w:r>
      <w:r>
        <w:rPr>
          <w:rStyle w:val="cat-UserDefinedgrp-5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3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ind w:left="340" w:hanging="3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Морошан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С.Г., являясь председателем 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СНТ «</w:t>
      </w:r>
      <w:r>
        <w:rPr>
          <w:rFonts w:ascii="Times New Roman" w:eastAsia="Times New Roman" w:hAnsi="Times New Roman" w:cs="Times New Roman"/>
          <w:sz w:val="26"/>
          <w:szCs w:val="26"/>
        </w:rPr>
        <w:t>Радамир</w:t>
      </w:r>
      <w:r>
        <w:rPr>
          <w:rFonts w:ascii="Times New Roman" w:eastAsia="Times New Roman" w:hAnsi="Times New Roman" w:cs="Times New Roman"/>
          <w:sz w:val="26"/>
          <w:szCs w:val="26"/>
        </w:rPr>
        <w:t>», зарегистрированного по адресу: ХМАО-Югра, г. Нефтеюганск, СУ-62, д. 6, кв.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5.1 ст. 23 НК РФ, ч.ч. 3 и 5 ст.18 Федерального закона от 06.12.2011 г. № 402-ФЗ «О бухгалтерском учете», до 01.04.202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установленный срок в налоговый орган по месту учета – межрайонную ИФНС России № 7 по Ханты-Мансийскому автономному округу – Югре, бухгалтерскую (финансовую) 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(финансовой)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отчетности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24:00 час. </w:t>
      </w:r>
      <w:r>
        <w:rPr>
          <w:rFonts w:ascii="Times New Roman" w:eastAsia="Times New Roman" w:hAnsi="Times New Roman" w:cs="Times New Roman"/>
          <w:sz w:val="26"/>
          <w:szCs w:val="26"/>
        </w:rPr>
        <w:t>31.03.202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бухгалтерская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(финансовая)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Морошан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судом о времени и месте рассмотрения дела надлежащим образом, в судебное заседание не явился, о причинах неявки суду не сообщил.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Морошан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Морошан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</w:t>
      </w:r>
      <w:r>
        <w:rPr>
          <w:rFonts w:ascii="Times New Roman" w:eastAsia="Times New Roman" w:hAnsi="Times New Roman" w:cs="Times New Roman"/>
          <w:sz w:val="26"/>
          <w:szCs w:val="26"/>
        </w:rPr>
        <w:t>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Морошан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срок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отправлений о направлении уведомления о времени и месте составления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бухгалтерской (финансовой) отчетности за 2022 год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отчетом об отслеживании отправлений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государственного реестра юридических лиц.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подп. 5.1 п.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 или является религиозной организацией, или является организацией, представляющей в Центральный банк РФ годовую бухгалтерскую отчетность, если иное не предусмотрено настоящим подпунктом.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 ст. 6 Федерального закона от 06.12.2011 г. № 402-ФЗ «О бухгалтерском учете» экономический субъект обязан вести бухгалтерский учет в соответствии с настоящим Федеральным законом, если иное не установлено настоящим Федеральным законом.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ч.3 и ч.5 ст.18 Федерального закона от 06.12.2011 г. № 402-ФЗ «О бухгалтерском учете»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установлено настоящей статьей (ч.3). Обязательный экземпляр отчетности представляется экономическим субъектом в виде электронного документа по ТКС через оператора электронного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документооборота,…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трех месяцев после окончания отчетного периода (ч.5).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СНТ «</w:t>
      </w:r>
      <w:r>
        <w:rPr>
          <w:rFonts w:ascii="Times New Roman" w:eastAsia="Times New Roman" w:hAnsi="Times New Roman" w:cs="Times New Roman"/>
          <w:sz w:val="26"/>
          <w:szCs w:val="26"/>
        </w:rPr>
        <w:t>Радамир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не относится к лицам, которые в силу ч. 2 ст. 6 ФЗ № 402-ФЗ могут не вести бухгалтерский учет, либо в силу ч. 4 ст. 18 указанного Федерального закона освобождены от представления обязательного экземпляра отчетности.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Морошан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15.6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как н</w:t>
      </w:r>
      <w:r>
        <w:rPr>
          <w:rFonts w:ascii="Times New Roman" w:eastAsia="Times New Roman" w:hAnsi="Times New Roman" w:cs="Times New Roman"/>
          <w:sz w:val="26"/>
          <w:szCs w:val="26"/>
        </w:rPr>
        <w:t>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х частью 2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Морошан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</w:t>
      </w:r>
      <w:r>
        <w:rPr>
          <w:rFonts w:ascii="Times New Roman" w:eastAsia="Times New Roman" w:hAnsi="Times New Roman" w:cs="Times New Roman"/>
          <w:sz w:val="26"/>
          <w:szCs w:val="26"/>
        </w:rPr>
        <w:t>., его имущественное положение.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судья не находит.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ст.ст.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председателя 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СНТ «</w:t>
      </w:r>
      <w:r>
        <w:rPr>
          <w:rFonts w:ascii="Times New Roman" w:eastAsia="Times New Roman" w:hAnsi="Times New Roman" w:cs="Times New Roman"/>
          <w:sz w:val="26"/>
          <w:szCs w:val="26"/>
        </w:rPr>
        <w:t>Радамир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Морошана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Георгиевича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40102810245370000007, КБК 72011601153010006140, ОКТМО: 71874000,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0412365400395016512315176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6560"/>
        </w:tabs>
        <w:spacing w:before="0" w:after="0" w:line="259" w:lineRule="auto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12"/>
          <w:szCs w:val="12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center" w:pos="467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47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32"/>
        <w:gridCol w:w="5541"/>
        <w:gridCol w:w="4822"/>
        <w:gridCol w:w="5652"/>
      </w:tblGrid>
      <w:tr>
        <w:tblPrEx>
          <w:tblW w:w="20847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8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5rplc-6">
    <w:name w:val="cat-ExternalSystemDefined grp-55 rplc-6"/>
    <w:basedOn w:val="DefaultParagraphFont"/>
  </w:style>
  <w:style w:type="character" w:customStyle="1" w:styleId="cat-PassportDatagrp-42rplc-7">
    <w:name w:val="cat-PassportData grp-42 rplc-7"/>
    <w:basedOn w:val="DefaultParagraphFont"/>
  </w:style>
  <w:style w:type="character" w:customStyle="1" w:styleId="cat-UserDefinedgrp-58rplc-9">
    <w:name w:val="cat-UserDefined grp-58 rplc-9"/>
    <w:basedOn w:val="DefaultParagraphFont"/>
  </w:style>
  <w:style w:type="character" w:customStyle="1" w:styleId="cat-PassportDatagrp-43rplc-11">
    <w:name w:val="cat-PassportData grp-43 rplc-11"/>
    <w:basedOn w:val="DefaultParagraphFont"/>
  </w:style>
  <w:style w:type="character" w:customStyle="1" w:styleId="cat-ExternalSystemDefinedgrp-57rplc-12">
    <w:name w:val="cat-ExternalSystemDefined grp-57 rplc-12"/>
    <w:basedOn w:val="DefaultParagraphFont"/>
  </w:style>
  <w:style w:type="character" w:customStyle="1" w:styleId="cat-ExternalSystemDefinedgrp-56rplc-13">
    <w:name w:val="cat-ExternalSystemDefined grp-56 rplc-13"/>
    <w:basedOn w:val="DefaultParagraphFont"/>
  </w:style>
  <w:style w:type="character" w:customStyle="1" w:styleId="cat-UserDefinedgrp-59rplc-29">
    <w:name w:val="cat-UserDefined grp-59 rplc-29"/>
    <w:basedOn w:val="DefaultParagraphFont"/>
  </w:style>
  <w:style w:type="character" w:customStyle="1" w:styleId="cat-UserDefinedgrp-60rplc-56">
    <w:name w:val="cat-UserDefined grp-60 rplc-56"/>
    <w:basedOn w:val="DefaultParagraphFont"/>
  </w:style>
  <w:style w:type="character" w:customStyle="1" w:styleId="cat-UserDefinedgrp-61rplc-59">
    <w:name w:val="cat-UserDefined grp-61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